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Schwyz</w:t>
      </w:r>
    </w:p>
    <w:p>
      <w:pPr/>
      <w:r>
        <w:t>Die kantonalen Informationen unterscheiden Berufsausübungs- und Betriebsbewilligungen. Das Amt für Gesundheit und Soziales klärt die erforderliche persönliche Berechtigung und die betriebliche Einordnung der Partnerpraxis. Für Inhaber einer ausserkantonalen Bewilligung kommt gegebenenfalls das gemeldete 90-Tage-Verfahren infrage; eine OKP-Zulassung ist damit nicht eingeschlossen. Weder Variante A noch B wird durch die Bezeichnung als selbstständige Kooperation automatisch zulässig. Vor jedem Start sind die erforderlichen standortbezogenen Nachweise dokumentiert; eine persönliche Bewilligung wird durch diesen Anhang nicht behauptet.</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Gesundheitsgesetz, Gesundheitsverordnung und MedBG; amtliche Informationen des Kantons Schwyz</w:t>
      </w:r>
    </w:p>
    <w:p>
      <w:pPr>
        <w:spacing w:after="80"/>
      </w:pPr>
      <w:r>
        <w:rPr>
          <w:sz w:val="17"/>
        </w:rPr>
        <w:t>https://www.sz.ch/behoerden/verwaltung/departement-des-innern/amt-fuer-gesundheit-und-soziales/bewilligungen.html/8756-8758-8802-9316-9317-12695</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Schwyz</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